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61744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МИКОЛАЇВСЬКИЙ НАЦІОНАЛЬНИЙ АГРАРНИЙ УНІВЕРСИТЕТ</w:t>
      </w: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b/>
          <w:sz w:val="28"/>
          <w:szCs w:val="28"/>
          <w:lang w:val="uk-UA"/>
        </w:rPr>
        <w:t>БІБЛІОТЕКА</w:t>
      </w: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521BA" w:rsidRPr="00222395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Основні засоби: облік та управління</w:t>
      </w: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(тематичний список літератури)</w:t>
      </w: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</w:p>
    <w:p w:rsidR="00D521BA" w:rsidRPr="00761744" w:rsidRDefault="00D521BA" w:rsidP="00D521BA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</w:t>
      </w:r>
    </w:p>
    <w:p w:rsidR="00D521BA" w:rsidRDefault="00D521B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820453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lastRenderedPageBreak/>
        <w:t>Белінськ</w:t>
      </w:r>
      <w:r w:rsidR="00A71574" w:rsidRPr="00A71574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656D77"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С. Методичні засади обліку земельних 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ресурсі</w:t>
      </w:r>
      <w:r w:rsidR="00656D77"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/ С. М. </w:t>
      </w:r>
      <w:proofErr w:type="spellStart"/>
      <w:r w:rsidR="00656D77" w:rsidRPr="00A71574">
        <w:rPr>
          <w:rFonts w:ascii="Times New Roman" w:hAnsi="Times New Roman" w:cs="Times New Roman"/>
          <w:sz w:val="24"/>
          <w:szCs w:val="24"/>
          <w:lang w:val="uk-UA"/>
        </w:rPr>
        <w:t>Белінська</w:t>
      </w:r>
      <w:proofErr w:type="spellEnd"/>
      <w:r w:rsidR="00656D77"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="00656D77" w:rsidRPr="00A71574">
        <w:rPr>
          <w:rFonts w:ascii="Times New Roman" w:hAnsi="Times New Roman" w:cs="Times New Roman"/>
          <w:sz w:val="24"/>
          <w:szCs w:val="24"/>
          <w:lang w:val="uk-UA"/>
        </w:rPr>
        <w:t>Агросвіт</w:t>
      </w:r>
      <w:proofErr w:type="spellEnd"/>
      <w:r w:rsidR="00656D77" w:rsidRPr="00A71574">
        <w:rPr>
          <w:rFonts w:ascii="Times New Roman" w:hAnsi="Times New Roman" w:cs="Times New Roman"/>
          <w:sz w:val="24"/>
          <w:szCs w:val="24"/>
          <w:lang w:val="uk-UA"/>
        </w:rPr>
        <w:t>. – 2015. – № 8. – С. 46-48.</w:t>
      </w:r>
    </w:p>
    <w:p w:rsidR="00F075DB" w:rsidRPr="00A71574" w:rsidRDefault="00F075DB" w:rsidP="00F075DB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574">
        <w:rPr>
          <w:rFonts w:ascii="Times New Roman" w:hAnsi="Times New Roman" w:cs="Times New Roman"/>
          <w:sz w:val="24"/>
          <w:szCs w:val="24"/>
          <w:lang w:val="uk-UA"/>
        </w:rPr>
        <w:t>Гаркавець І. Особливості аудиту обліку основних засобів / І. Гаркавець // Фінансовий кон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роль. – 2017. – № 11. – С 36-40.</w:t>
      </w:r>
    </w:p>
    <w:p w:rsidR="00F075DB" w:rsidRPr="00A71574" w:rsidRDefault="00F075DB" w:rsidP="00F075DB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Гвоздєв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Ю. В. Методичні підходи до оцінки основних засобів сільськогосп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дарських підприємств / Ю. В.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Гвоздєв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, І. О.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Герасименко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Агросвіт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. – 2016. – № 22. – С. 27-31.</w:t>
      </w:r>
    </w:p>
    <w:p w:rsidR="00F075DB" w:rsidRPr="00A71574" w:rsidRDefault="00F075DB" w:rsidP="00F075DB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Pr="00F075DB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Гільорме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Т. В. Удосконалення облікового процесу основних засобів на засадах оптимізації руху облікової інформації / Т. В.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Гільорме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, Н. С. Новицька // Економіка. Ф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нанси. Право. – 2018. – № 6. – С. 9-12.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Досліджено питання сучасних викликів та проблемних місць сталого розвитку агр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рного сектору України. Проведено аналіз фермерського підприємства в розрізі стратегічного планування його розвитку з урахуванням необхідності впровадження ідей та концепцій ст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лого розвитку.</w:t>
      </w:r>
    </w:p>
    <w:p w:rsidR="00F075DB" w:rsidRPr="00A71574" w:rsidRDefault="00F075DB" w:rsidP="00F075DB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Гільорм</w:t>
      </w:r>
      <w:r w:rsidR="00A71574" w:rsidRPr="00A71574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Т. В. Удосконалення організації обліку основних засобів на проми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ловому підпр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ємстві / Т. В.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Гільорме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, В. Є. Данилова // Економіка. Фінанси. Право. – 2017. – № 11. – С. 11-13.</w:t>
      </w:r>
    </w:p>
    <w:p w:rsidR="00F075DB" w:rsidRPr="00A71574" w:rsidRDefault="00F075DB" w:rsidP="00F075DB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574">
        <w:rPr>
          <w:rFonts w:ascii="Times New Roman" w:hAnsi="Times New Roman" w:cs="Times New Roman"/>
          <w:sz w:val="24"/>
          <w:szCs w:val="24"/>
          <w:lang w:val="uk-UA"/>
        </w:rPr>
        <w:t>Ізмайлов Я. Вдосконалення обліку та аналізу витрат з поліпшення і ремонтів основних засобів в системі господарської діяльності підприємств / Я. Ізмайлов // Бухгалтерський облік і а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дит. – 2016. – № 9. – С. 2-12.</w:t>
      </w:r>
    </w:p>
    <w:p w:rsidR="00A400AC" w:rsidRPr="00A71574" w:rsidRDefault="00A400AC" w:rsidP="00A400AC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574">
        <w:rPr>
          <w:rFonts w:ascii="Times New Roman" w:hAnsi="Times New Roman" w:cs="Times New Roman"/>
          <w:sz w:val="24"/>
          <w:szCs w:val="24"/>
          <w:lang w:val="uk-UA"/>
        </w:rPr>
        <w:t>Кафка С. М. Облік витрат на ремонт та інше поліпшення основних засобів / С. М. Кафка // Економіка. Фінанси. Право. – 2017. – № 5. – С. 40-51.</w:t>
      </w:r>
    </w:p>
    <w:p w:rsidR="00A400AC" w:rsidRPr="00A71574" w:rsidRDefault="00A400AC" w:rsidP="00A400AC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Коритник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Л. Необоротні активи бюджетних установ: обліковий аспект упра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ління / Л.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Коритник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, О. Клименко // Бухгалтерський облік і аудит. – 2015. – № 11. – С. 10-18.</w:t>
      </w:r>
    </w:p>
    <w:p w:rsidR="00A400AC" w:rsidRPr="00A71574" w:rsidRDefault="00A400AC" w:rsidP="00A400AC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Костюнік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О. В. Особливості та відмінності обліку основних засобів за націон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льними ста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дартами бухгалтерського обліку / О. В.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Костюнік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, Т. С. Чайковська // Економіка. Фінанси. Право. – 2019. – № 1. – С. 35-37.</w:t>
      </w:r>
    </w:p>
    <w:p w:rsidR="00A400AC" w:rsidRPr="00A71574" w:rsidRDefault="00A400AC" w:rsidP="00A400AC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Лазебник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Л. Л. Оновлення основних засобів в Україні: проблеми їх амортизації та викори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тання / Л. Л. Лазебник // Економіка України. – 2018. – № 8. – С. 62-73.</w:t>
      </w:r>
    </w:p>
    <w:p w:rsidR="00A400AC" w:rsidRPr="00A71574" w:rsidRDefault="00A400AC" w:rsidP="00A400AC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Pr="005A68AA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Лень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В. С. Методи нарахування амортизації та відтворення основних засобів / В. С.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Лень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, Ю. М.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Перетятько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// Актуальні проблеми економіки. – 2015. – № 9. – С. 199-205.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У статті проаналізовано грошові потоки від надходження на підприємство сум амортизаційних відрахувань за поточною та </w:t>
      </w:r>
      <w:proofErr w:type="spellStart"/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дисконтованою</w:t>
      </w:r>
      <w:proofErr w:type="spellEnd"/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вартістю. Порівняння грош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вих потоків за </w:t>
      </w:r>
      <w:proofErr w:type="spellStart"/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дисконтованою</w:t>
      </w:r>
      <w:proofErr w:type="spellEnd"/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вартістю свідчить, що вони за величиною є різними при заст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суванні різних методів нарахування амортизації і не забезпечують навіть простого відтв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рення основних засобів. Для розрахунку граничної величини прибутку, що забезпечує повне відтворення основних засобів, запропоновано розраховувати граничний рівень рентабельн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сті основних засобів (необоротних матеріальних та нематеріальних активів). </w:t>
      </w:r>
    </w:p>
    <w:p w:rsidR="005A68AA" w:rsidRPr="00A71574" w:rsidRDefault="005A68AA" w:rsidP="005A68AA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lastRenderedPageBreak/>
        <w:t>Лупенко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Ю. О. Інвестиційне забезпечення інноваційного розвитку сільського господарства України  / Ю. О.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Лупенко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, О. В.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Захарчук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// Економіка АПК. – 2018. – № 11. – С. 9-18.</w:t>
      </w:r>
    </w:p>
    <w:p w:rsidR="005A68AA" w:rsidRPr="00A71574" w:rsidRDefault="005A68AA" w:rsidP="005A68AA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574">
        <w:rPr>
          <w:rFonts w:ascii="Times New Roman" w:hAnsi="Times New Roman" w:cs="Times New Roman"/>
          <w:sz w:val="24"/>
          <w:szCs w:val="24"/>
          <w:lang w:val="uk-UA"/>
        </w:rPr>
        <w:t>Максименко І. Я. Особливості визначення основних засобів у процесі упра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ління підприєм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твом:бухгалтерський та податковий аспекти / І. Я. Максименко, О. П. Зоря, Є. О.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Березін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//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Агросвіт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. – 2017. – № 19-20. – С. 47-50.</w:t>
      </w:r>
    </w:p>
    <w:p w:rsidR="005A68AA" w:rsidRPr="00A71574" w:rsidRDefault="005A68AA" w:rsidP="005A68AA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Методичні рекомендації з бухгалтерського обліку основних засобів суб'єктів державного сектору  : 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затв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. наказом від 23.01.15 № 11 / Міністерство фінансів України // Бухгалтерія в сільському господарстві. – 2015. – № 6. – С. 10-21.</w:t>
      </w:r>
    </w:p>
    <w:p w:rsidR="005A68AA" w:rsidRPr="00A71574" w:rsidRDefault="005A68AA" w:rsidP="005A68AA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574">
        <w:rPr>
          <w:rFonts w:ascii="Times New Roman" w:hAnsi="Times New Roman" w:cs="Times New Roman"/>
          <w:sz w:val="24"/>
          <w:szCs w:val="24"/>
          <w:lang w:val="uk-UA"/>
        </w:rPr>
        <w:t>Михайлов М. Г. Концептуальні підходи до розвитку матеріально-технічної бази агр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рних підприємств / М. Г. Михайлов //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Агросвіт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. – 2016. – № 22. – С. 38-44.</w:t>
      </w:r>
    </w:p>
    <w:p w:rsidR="005A68AA" w:rsidRPr="00A71574" w:rsidRDefault="005A68AA" w:rsidP="005A68AA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574">
        <w:rPr>
          <w:rFonts w:ascii="Times New Roman" w:hAnsi="Times New Roman" w:cs="Times New Roman"/>
          <w:sz w:val="24"/>
          <w:szCs w:val="24"/>
          <w:lang w:val="uk-UA"/>
        </w:rPr>
        <w:t>Михайлов М. Г. Методичні підходи до формування оцінки розвитку матері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льно-технічної бази аграрних підприємств / М. Г. Михайлов //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Агросвіт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. – 2017. – № 1-2. – С. 8-13.</w:t>
      </w:r>
    </w:p>
    <w:p w:rsidR="005A68AA" w:rsidRPr="00A71574" w:rsidRDefault="005A68AA" w:rsidP="005A68AA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574">
        <w:rPr>
          <w:rFonts w:ascii="Times New Roman" w:hAnsi="Times New Roman" w:cs="Times New Roman"/>
          <w:sz w:val="24"/>
          <w:szCs w:val="24"/>
          <w:lang w:val="uk-UA"/>
        </w:rPr>
        <w:t>Михайлов М. Г. Основні пріоритети державної підтримки розвитку матеріал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но-технічної бази аграрних підприємств / М. Г. Михайлов // Економіка АПК. – 2018. – № 1. – С. 53-59.</w:t>
      </w:r>
    </w:p>
    <w:p w:rsidR="005A68AA" w:rsidRPr="00A71574" w:rsidRDefault="005A68AA" w:rsidP="005A68AA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574">
        <w:rPr>
          <w:rFonts w:ascii="Times New Roman" w:hAnsi="Times New Roman" w:cs="Times New Roman"/>
          <w:sz w:val="24"/>
          <w:szCs w:val="24"/>
          <w:lang w:val="uk-UA"/>
        </w:rPr>
        <w:t>Михайлов М. Г. Стратегічні напрями матеріально-технічного забезпечення а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рарних підпр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ємств / М. Г. Михайлов //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Агросвіт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. – 2018. – № 2. – С. 10-16.</w:t>
      </w:r>
    </w:p>
    <w:p w:rsidR="005A68AA" w:rsidRPr="00A71574" w:rsidRDefault="005A68AA" w:rsidP="005A68AA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Pr="00823484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Могилова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М. М. 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Інноваційно-диверсифікаційне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відтворення основних засобів у забезпеченні стійкого розвитку сільського господарства і сільських територій / М. М. Могилова //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Агросвіт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. – 2018. – № 13. – С. 3-7.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У статті </w:t>
      </w:r>
      <w:r w:rsidR="00340436"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обґрунтовано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необхідність покращення параметрів відтворення основних засобів, які мають бути адаптовані до сучасних потреб і вимог щодо розвитку сільського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подарського виробництва і сільських територій. Методичні засади визначення таких пар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метрів передбачають наявність чіткої класифікації відтворення за різними ознаками. В статті представлено авторський варіант удосконаленої класифікації відтворення основних засобів за видами, типами, напрямами, способами, методами і формами. Здійснено чітке розмежування видів, типів, напрямів і способів відтворення, а також методів і форм. Ро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з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ширено класифікаційні ознаки і відповідні їм групи. На основі визначення сутнісних ознак кожної із класифікаційних груп відтв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рення як пріоритетне в сучасних умовах </w:t>
      </w:r>
      <w:r w:rsidR="00823484"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обґрунтовано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інноваційно-диверсифікаційне</w:t>
      </w:r>
      <w:proofErr w:type="spellEnd"/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відтворення галузевих основних засобів, яке відповідає основних завданням щодо ро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з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витку сільського господарства і сільських територій.</w:t>
      </w:r>
    </w:p>
    <w:p w:rsidR="00823484" w:rsidRPr="00A71574" w:rsidRDefault="00823484" w:rsidP="00823484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Непран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А. В. Удосконалення державної політики у сфері оновлення основних виро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ничих засобів / А. В.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Непран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// Фінанси України. – 2016. – № 11. – С. 109-125.</w:t>
      </w:r>
    </w:p>
    <w:p w:rsidR="00823484" w:rsidRPr="00A71574" w:rsidRDefault="00823484" w:rsidP="00823484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Pr="00823484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574">
        <w:rPr>
          <w:rFonts w:ascii="Times New Roman" w:hAnsi="Times New Roman" w:cs="Times New Roman"/>
          <w:sz w:val="24"/>
          <w:szCs w:val="24"/>
          <w:lang w:val="uk-UA"/>
        </w:rPr>
        <w:t>Олійник Є. В. Управління основними засобами підприємства через призму класичних та с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часних теорій / Є. В. Олійник // Актуальні проблеми економіки. – 2015. – № 6. – С. 47-53.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досліджено зміст класичних та сучасних економічних теорій, які формують наукове підґрунтя для сучасної концепції управління основними засобами вітчизняних під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п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>риємств. Розглянуто положення теорії капіталу, теорії інвестицій, теорії організації, що дало можливість систематизувати закономірності, які є лог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чною основою для підвищення ефективності управління основними засобами на ві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т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чизняних підприємствах</w:t>
      </w:r>
      <w:r w:rsidR="00823484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823484" w:rsidRPr="00A71574" w:rsidRDefault="00823484" w:rsidP="00823484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574">
        <w:rPr>
          <w:rFonts w:ascii="Times New Roman" w:hAnsi="Times New Roman" w:cs="Times New Roman"/>
          <w:sz w:val="24"/>
          <w:szCs w:val="24"/>
          <w:lang w:val="uk-UA"/>
        </w:rPr>
        <w:t>Пархоменко В. Удосконалення бухгалтерського обліку запасів / В. Пархоменко //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Бухгалтерский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облік і аудит. – 2016. – № 7-8. – С. 2-3.</w:t>
      </w:r>
    </w:p>
    <w:p w:rsidR="00823484" w:rsidRPr="00A71574" w:rsidRDefault="00823484" w:rsidP="00823484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574">
        <w:rPr>
          <w:rFonts w:ascii="Times New Roman" w:hAnsi="Times New Roman" w:cs="Times New Roman"/>
          <w:sz w:val="24"/>
          <w:szCs w:val="24"/>
          <w:lang w:val="uk-UA"/>
        </w:rPr>
        <w:t>Петрик О. А. Аудит оцінки вартості основних засобів / О. А. Петрик // Економіка. Фінанси. Право. – 2015. – № 4. – С. 24-26.</w:t>
      </w:r>
    </w:p>
    <w:p w:rsidR="00823484" w:rsidRPr="00A71574" w:rsidRDefault="00823484" w:rsidP="00823484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Потриваєва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Н. В. Нормативно-правові особливості та проблемні аспекти обліку основних засобів / Н. В.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Потриваєва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// Вісник аграрної науки Причорномор'я : науковий </w:t>
      </w:r>
      <w:r w:rsidR="00BC7092" w:rsidRPr="00A71574">
        <w:rPr>
          <w:rFonts w:ascii="Times New Roman" w:hAnsi="Times New Roman" w:cs="Times New Roman"/>
          <w:sz w:val="24"/>
          <w:szCs w:val="24"/>
          <w:lang w:val="uk-UA"/>
        </w:rPr>
        <w:t>жу</w:t>
      </w:r>
      <w:r w:rsidR="00BC7092" w:rsidRPr="00A7157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C7092" w:rsidRPr="00A71574">
        <w:rPr>
          <w:rFonts w:ascii="Times New Roman" w:hAnsi="Times New Roman" w:cs="Times New Roman"/>
          <w:sz w:val="24"/>
          <w:szCs w:val="24"/>
          <w:lang w:val="uk-UA"/>
        </w:rPr>
        <w:t>нал</w:t>
      </w:r>
      <w:r w:rsidR="00BC7092" w:rsidRPr="00A71574">
        <w:rPr>
          <w:rFonts w:ascii="Times New Roman" w:hAnsi="Times New Roman" w:cs="Times New Roman"/>
          <w:sz w:val="24"/>
          <w:szCs w:val="24"/>
        </w:rPr>
        <w:t xml:space="preserve">/ - </w:t>
      </w:r>
      <w:r w:rsidR="00BC7092" w:rsidRPr="00A71574">
        <w:rPr>
          <w:rFonts w:ascii="Times New Roman" w:hAnsi="Times New Roman" w:cs="Times New Roman"/>
          <w:sz w:val="24"/>
          <w:szCs w:val="24"/>
          <w:lang w:val="uk-UA"/>
        </w:rPr>
        <w:t>2015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C7092" w:rsidRPr="00A71574">
        <w:rPr>
          <w:rFonts w:ascii="Times New Roman" w:hAnsi="Times New Roman" w:cs="Times New Roman"/>
          <w:sz w:val="24"/>
          <w:szCs w:val="24"/>
        </w:rPr>
        <w:t xml:space="preserve"> -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Вип.1(82)</w:t>
      </w:r>
      <w:r w:rsidR="0027343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C7092" w:rsidRPr="00A71574">
        <w:rPr>
          <w:rFonts w:ascii="Times New Roman" w:hAnsi="Times New Roman" w:cs="Times New Roman"/>
          <w:sz w:val="24"/>
          <w:szCs w:val="24"/>
        </w:rPr>
        <w:t xml:space="preserve"> 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– С. 49-57.</w:t>
      </w:r>
    </w:p>
    <w:p w:rsidR="00273438" w:rsidRPr="00A71574" w:rsidRDefault="00273438" w:rsidP="00273438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Потриваєва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Н. В. Облікове забезпечення ремонту і поліпшення основних засобів / Н. В.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Потриваєва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// Вісник ХНАУ. – 2015. – </w:t>
      </w:r>
      <w:r w:rsidR="003A5E61" w:rsidRPr="00A71574">
        <w:rPr>
          <w:rFonts w:ascii="Times New Roman" w:hAnsi="Times New Roman" w:cs="Times New Roman"/>
          <w:sz w:val="24"/>
          <w:szCs w:val="24"/>
          <w:lang w:val="uk-UA"/>
        </w:rPr>
        <w:t>№1</w:t>
      </w:r>
      <w:r w:rsidR="00165C1B" w:rsidRPr="00A71574">
        <w:rPr>
          <w:rFonts w:ascii="Times New Roman" w:hAnsi="Times New Roman" w:cs="Times New Roman"/>
          <w:sz w:val="24"/>
          <w:szCs w:val="24"/>
        </w:rPr>
        <w:t>.</w:t>
      </w:r>
      <w:r w:rsidR="003A5E61" w:rsidRPr="00A71574">
        <w:rPr>
          <w:rFonts w:ascii="Times New Roman" w:hAnsi="Times New Roman" w:cs="Times New Roman"/>
          <w:sz w:val="24"/>
          <w:szCs w:val="24"/>
        </w:rPr>
        <w:t xml:space="preserve"> - 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С. 43-50.</w:t>
      </w:r>
    </w:p>
    <w:p w:rsidR="00273438" w:rsidRPr="00A71574" w:rsidRDefault="00273438" w:rsidP="00273438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574">
        <w:rPr>
          <w:rFonts w:ascii="Times New Roman" w:hAnsi="Times New Roman" w:cs="Times New Roman"/>
          <w:sz w:val="24"/>
          <w:szCs w:val="24"/>
          <w:lang w:val="uk-UA"/>
        </w:rPr>
        <w:t>Сук Л. К. Оцінка основних засобів / Л. К. Сук // Бухгалтерія в сільському го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подарстві. – 2015. – № 6. – С. 36-40.</w:t>
      </w:r>
    </w:p>
    <w:p w:rsidR="00273438" w:rsidRPr="00A71574" w:rsidRDefault="00273438" w:rsidP="00273438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574">
        <w:rPr>
          <w:rFonts w:ascii="Times New Roman" w:hAnsi="Times New Roman" w:cs="Times New Roman"/>
          <w:sz w:val="24"/>
          <w:szCs w:val="24"/>
          <w:lang w:val="uk-UA"/>
        </w:rPr>
        <w:t>Ткаченко О. Національне положення (стандарт) бухгалтерського обліку в де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жавному се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торі 121 "Основні засоби" / О. Ткаченко // Фінансовий контроль. – 2015. – № 9. – С. 42-45. – Пр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t>довж. Поч. - № 8. - 2015.</w:t>
      </w:r>
    </w:p>
    <w:p w:rsidR="00273438" w:rsidRPr="00A71574" w:rsidRDefault="00273438" w:rsidP="00273438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D77" w:rsidRPr="00273438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574">
        <w:rPr>
          <w:rFonts w:ascii="Times New Roman" w:hAnsi="Times New Roman" w:cs="Times New Roman"/>
          <w:sz w:val="24"/>
          <w:szCs w:val="24"/>
          <w:lang w:val="uk-UA"/>
        </w:rPr>
        <w:t>Шум М. А. Обліково-аналітичне забезпечення використання основних засобів на підприємствах / М. А. Шум, О. Ф.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Доровськой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, К. Ю. Пахомова // Економіка. Фінанси. Право. – 2019. – № 2. – С. 34-36.</w:t>
      </w:r>
    </w:p>
    <w:p w:rsidR="00273438" w:rsidRPr="00A71574" w:rsidRDefault="00273438" w:rsidP="00273438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56D77" w:rsidRPr="00273438" w:rsidRDefault="00656D77" w:rsidP="00A71574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Якубів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В. М. Облік основних засобів: національний та міжнародний аспекти / В. М.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Якубів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, Д. І.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Шеленко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>, Л. С. </w:t>
      </w:r>
      <w:proofErr w:type="spellStart"/>
      <w:r w:rsidRPr="00A71574">
        <w:rPr>
          <w:rFonts w:ascii="Times New Roman" w:hAnsi="Times New Roman" w:cs="Times New Roman"/>
          <w:sz w:val="24"/>
          <w:szCs w:val="24"/>
          <w:lang w:val="uk-UA"/>
        </w:rPr>
        <w:t>Сас</w:t>
      </w:r>
      <w:proofErr w:type="spellEnd"/>
      <w:r w:rsidRPr="00A71574">
        <w:rPr>
          <w:rFonts w:ascii="Times New Roman" w:hAnsi="Times New Roman" w:cs="Times New Roman"/>
          <w:sz w:val="24"/>
          <w:szCs w:val="24"/>
          <w:lang w:val="uk-UA"/>
        </w:rPr>
        <w:t xml:space="preserve"> // Актуальні проблеми економіки. – 2015. – № 11. – С. 375-379.</w:t>
      </w:r>
      <w:r w:rsidRPr="00A71574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розкрито особливості обліку основних засобів за національними та мі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ж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народними стандартами. Уточнено сутність основних засобів, обґрунтовано порядок їх в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знання, визначено напрями класифікації, складові собівартості та подальших витрат об’єкта основних засобів. Обґрунтовано методику обліку основних засобів за моделлю соб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A71574">
        <w:rPr>
          <w:rFonts w:ascii="Times New Roman" w:hAnsi="Times New Roman" w:cs="Times New Roman"/>
          <w:i/>
          <w:iCs/>
          <w:sz w:val="24"/>
          <w:szCs w:val="24"/>
          <w:lang w:val="uk-UA"/>
        </w:rPr>
        <w:t>вартості та моделлю переоцінки.</w:t>
      </w:r>
    </w:p>
    <w:p w:rsidR="00273438" w:rsidRPr="00A71574" w:rsidRDefault="00273438" w:rsidP="00273438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656D77" w:rsidRPr="009D1089" w:rsidRDefault="00CA2054" w:rsidP="009D1089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089">
        <w:rPr>
          <w:rFonts w:ascii="Times New Roman" w:hAnsi="Times New Roman" w:cs="Times New Roman"/>
          <w:sz w:val="24"/>
          <w:szCs w:val="24"/>
          <w:lang w:val="uk-UA"/>
        </w:rPr>
        <w:t>Zwolak</w:t>
      </w:r>
      <w:proofErr w:type="spellEnd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 xml:space="preserve"> J. </w:t>
      </w:r>
      <w:proofErr w:type="spellStart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>relationship</w:t>
      </w:r>
      <w:proofErr w:type="spellEnd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>between</w:t>
      </w:r>
      <w:proofErr w:type="spellEnd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>newly</w:t>
      </w:r>
      <w:proofErr w:type="spellEnd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>introduced</w:t>
      </w:r>
      <w:proofErr w:type="spellEnd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>fixed</w:t>
      </w:r>
      <w:proofErr w:type="spellEnd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>assets</w:t>
      </w:r>
      <w:proofErr w:type="spellEnd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>final</w:t>
      </w:r>
      <w:proofErr w:type="spellEnd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>output</w:t>
      </w:r>
      <w:proofErr w:type="spellEnd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>Polish</w:t>
      </w:r>
      <w:proofErr w:type="spellEnd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>agriculture</w:t>
      </w:r>
      <w:proofErr w:type="spellEnd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 xml:space="preserve">  = Взаємозв'язок між новими основними засобами та кінцевою продукцією: за даними сільського господарства Польщі / J. </w:t>
      </w:r>
      <w:proofErr w:type="spellStart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>Zwolak</w:t>
      </w:r>
      <w:proofErr w:type="spellEnd"/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t xml:space="preserve"> // Актуальні проблеми економіки. – 2016. – № 5. – С. 86-94.</w:t>
      </w:r>
      <w:r w:rsidR="00656D77" w:rsidRPr="009D1089">
        <w:rPr>
          <w:rFonts w:ascii="Times New Roman" w:hAnsi="Times New Roman" w:cs="Times New Roman"/>
          <w:sz w:val="24"/>
          <w:szCs w:val="24"/>
          <w:lang w:val="uk-UA"/>
        </w:rPr>
        <w:br/>
      </w:r>
      <w:r w:rsidR="00656D77" w:rsidRPr="009D1089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У статті проаналізовано, що вартість кінцевої продукції, призначеної на пр</w:t>
      </w:r>
      <w:r w:rsidR="00656D77" w:rsidRPr="009D1089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="00656D77" w:rsidRPr="009D1089">
        <w:rPr>
          <w:rFonts w:ascii="Times New Roman" w:hAnsi="Times New Roman" w:cs="Times New Roman"/>
          <w:i/>
          <w:iCs/>
          <w:sz w:val="24"/>
          <w:szCs w:val="24"/>
          <w:lang w:val="uk-UA"/>
        </w:rPr>
        <w:t>даж, під спільним впливом вартості нових та вже використаних основних засобів зростала швидше, ніж пропорційно, за умови незмінності інших факторів.</w:t>
      </w:r>
      <w:r w:rsidR="009D1089" w:rsidRPr="009D108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Результати оцінювання грани</w:t>
      </w:r>
      <w:r w:rsidR="009D1089" w:rsidRPr="009D1089">
        <w:rPr>
          <w:rFonts w:ascii="Times New Roman" w:hAnsi="Times New Roman" w:cs="Times New Roman"/>
          <w:i/>
          <w:iCs/>
          <w:sz w:val="24"/>
          <w:szCs w:val="24"/>
          <w:lang w:val="uk-UA"/>
        </w:rPr>
        <w:t>ч</w:t>
      </w:r>
      <w:r w:rsidR="009D1089" w:rsidRPr="009D1089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ної та середньої продуктивності даних двох категорій основних засобів показали, що підвищене в</w:t>
      </w:r>
      <w:r w:rsidR="009D1089" w:rsidRPr="009D1089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="009D1089" w:rsidRPr="009D1089">
        <w:rPr>
          <w:rFonts w:ascii="Times New Roman" w:hAnsi="Times New Roman" w:cs="Times New Roman"/>
          <w:i/>
          <w:iCs/>
          <w:sz w:val="24"/>
          <w:szCs w:val="24"/>
          <w:lang w:val="uk-UA"/>
        </w:rPr>
        <w:t>дновлення основних засобів гарантувало більш раціональне їх використання в сільському г</w:t>
      </w:r>
      <w:r w:rsidR="009D1089" w:rsidRPr="009D1089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="009D1089" w:rsidRPr="009D1089">
        <w:rPr>
          <w:rFonts w:ascii="Times New Roman" w:hAnsi="Times New Roman" w:cs="Times New Roman"/>
          <w:i/>
          <w:iCs/>
          <w:sz w:val="24"/>
          <w:szCs w:val="24"/>
          <w:lang w:val="uk-UA"/>
        </w:rPr>
        <w:t>сподарстві Польщі.</w:t>
      </w:r>
    </w:p>
    <w:sectPr w:rsidR="00656D77" w:rsidRPr="009D1089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367"/>
    <w:multiLevelType w:val="hybridMultilevel"/>
    <w:tmpl w:val="5438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56D77"/>
    <w:rsid w:val="00165C1B"/>
    <w:rsid w:val="00273438"/>
    <w:rsid w:val="00340436"/>
    <w:rsid w:val="003A5E61"/>
    <w:rsid w:val="005A68AA"/>
    <w:rsid w:val="00654B5A"/>
    <w:rsid w:val="00656D77"/>
    <w:rsid w:val="0075666F"/>
    <w:rsid w:val="00820453"/>
    <w:rsid w:val="00823484"/>
    <w:rsid w:val="009D1089"/>
    <w:rsid w:val="00A400AC"/>
    <w:rsid w:val="00A71574"/>
    <w:rsid w:val="00B22414"/>
    <w:rsid w:val="00B60C1D"/>
    <w:rsid w:val="00B8520A"/>
    <w:rsid w:val="00BC7092"/>
    <w:rsid w:val="00C61E86"/>
    <w:rsid w:val="00CA2054"/>
    <w:rsid w:val="00D521BA"/>
    <w:rsid w:val="00F0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7305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2019-03-29T10:23:00Z</dcterms:created>
  <dcterms:modified xsi:type="dcterms:W3CDTF">2019-03-29T10:23:00Z</dcterms:modified>
</cp:coreProperties>
</file>